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4C" w:rsidRDefault="00BD144A" w:rsidP="00BD144A">
      <w:pPr>
        <w:ind w:left="-567"/>
        <w:jc w:val="center"/>
        <w:rPr>
          <w:rFonts w:ascii="Arial" w:hAnsi="Arial" w:cs="Arial"/>
          <w:b/>
          <w:i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 wp14:anchorId="33C7AC5B" wp14:editId="0E2BFE85">
            <wp:extent cx="1203158" cy="125010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karachaevo-cherkessii.ru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865" cy="125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1275715</wp:posOffset>
                </wp:positionV>
                <wp:extent cx="5173980" cy="301752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3980" cy="301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144C" w:rsidRPr="00BD144A" w:rsidRDefault="0044144C" w:rsidP="00BD144A">
                            <w:pPr>
                              <w:jc w:val="center"/>
                              <w:rPr>
                                <w:rFonts w:ascii="AcadEref" w:hAnsi="AcadEref" w:cs="Arial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</w:pPr>
                            <w:r w:rsidRPr="00BD144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t>ПАСПОРТ</w:t>
                            </w:r>
                          </w:p>
                          <w:p w:rsidR="00BD144A" w:rsidRDefault="0044144C" w:rsidP="00BD144A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</w:pPr>
                            <w:r w:rsidRPr="00BD144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t>Благоустройства</w:t>
                            </w:r>
                          </w:p>
                          <w:p w:rsidR="00BD144A" w:rsidRDefault="0044144C" w:rsidP="00BD144A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</w:pPr>
                            <w:r w:rsidRPr="00BD144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t>Малокарачаевского</w:t>
                            </w:r>
                          </w:p>
                          <w:p w:rsidR="0044144C" w:rsidRPr="00BD144A" w:rsidRDefault="0044144C" w:rsidP="00BD144A">
                            <w:pPr>
                              <w:jc w:val="center"/>
                              <w:rPr>
                                <w:rFonts w:ascii="AcadEref" w:hAnsi="AcadEref" w:cs="Arial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</w:pPr>
                            <w:r w:rsidRPr="00BD144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t>муниципального</w:t>
                            </w:r>
                            <w:r w:rsidR="00BD144A" w:rsidRPr="00BD144A">
                              <w:rPr>
                                <w:rFonts w:ascii="AcadEref" w:hAnsi="AcadEref"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D144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t>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0.8pt;margin-top:100.45pt;width:407.4pt;height:23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" filled="f" stroked="f">
                <v:path arrowok="t"/>
                <v:textbox style="mso-fit-shape-to-text:t">
                  <w:txbxContent>
                    <w:p w:rsidR="0044144C" w:rsidRPr="00BD144A" w:rsidRDefault="0044144C" w:rsidP="00BD144A">
                      <w:pPr>
                        <w:jc w:val="center"/>
                        <w:rPr>
                          <w:rFonts w:ascii="AcadEref" w:hAnsi="AcadEref" w:cs="Arial"/>
                          <w:b/>
                          <w:i/>
                          <w:noProof/>
                          <w:sz w:val="72"/>
                          <w:szCs w:val="72"/>
                        </w:rPr>
                      </w:pPr>
                      <w:r w:rsidRPr="00BD144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72"/>
                          <w:szCs w:val="72"/>
                        </w:rPr>
                        <w:t>ПАСПОРТ</w:t>
                      </w:r>
                    </w:p>
                    <w:p w:rsidR="00BD144A" w:rsidRDefault="0044144C" w:rsidP="00BD144A">
                      <w:pPr>
                        <w:jc w:val="center"/>
                        <w:rPr>
                          <w:rFonts w:cs="Arial"/>
                          <w:b/>
                          <w:i/>
                          <w:noProof/>
                          <w:sz w:val="72"/>
                          <w:szCs w:val="72"/>
                        </w:rPr>
                      </w:pPr>
                      <w:r w:rsidRPr="00BD144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72"/>
                          <w:szCs w:val="72"/>
                        </w:rPr>
                        <w:t>Благоустройства</w:t>
                      </w:r>
                    </w:p>
                    <w:p w:rsidR="00BD144A" w:rsidRDefault="0044144C" w:rsidP="00BD144A">
                      <w:pPr>
                        <w:jc w:val="center"/>
                        <w:rPr>
                          <w:rFonts w:cs="Times New Roman"/>
                          <w:b/>
                          <w:i/>
                          <w:noProof/>
                          <w:sz w:val="72"/>
                          <w:szCs w:val="72"/>
                        </w:rPr>
                      </w:pPr>
                      <w:r w:rsidRPr="00BD144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72"/>
                          <w:szCs w:val="72"/>
                        </w:rPr>
                        <w:t>Малокарачаевского</w:t>
                      </w:r>
                    </w:p>
                    <w:p w:rsidR="0044144C" w:rsidRPr="00BD144A" w:rsidRDefault="0044144C" w:rsidP="00BD144A">
                      <w:pPr>
                        <w:jc w:val="center"/>
                        <w:rPr>
                          <w:rFonts w:ascii="AcadEref" w:hAnsi="AcadEref" w:cs="Arial"/>
                          <w:b/>
                          <w:i/>
                          <w:noProof/>
                          <w:sz w:val="72"/>
                          <w:szCs w:val="72"/>
                        </w:rPr>
                      </w:pPr>
                      <w:r w:rsidRPr="00BD144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72"/>
                          <w:szCs w:val="72"/>
                        </w:rPr>
                        <w:t>муниципального</w:t>
                      </w:r>
                      <w:r w:rsidR="00BD144A" w:rsidRPr="00BD144A">
                        <w:rPr>
                          <w:rFonts w:ascii="AcadEref" w:hAnsi="AcadEref" w:cs="Times New Roman"/>
                          <w:b/>
                          <w:i/>
                          <w:noProof/>
                          <w:sz w:val="72"/>
                          <w:szCs w:val="72"/>
                        </w:rPr>
                        <w:t xml:space="preserve"> </w:t>
                      </w:r>
                      <w:r w:rsidRPr="00BD144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72"/>
                          <w:szCs w:val="72"/>
                        </w:rPr>
                        <w:t>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44144C">
      <w:pPr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44144C" w:rsidRDefault="00536985" w:rsidP="00536985">
      <w:pPr>
        <w:jc w:val="center"/>
        <w:rPr>
          <w:rFonts w:ascii="Arial" w:hAnsi="Arial" w:cs="Arial"/>
          <w:b/>
          <w:i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br/>
      </w:r>
    </w:p>
    <w:p w:rsidR="00536985" w:rsidRDefault="00536985" w:rsidP="0044144C">
      <w:pPr>
        <w:ind w:left="-851"/>
        <w:jc w:val="center"/>
        <w:rPr>
          <w:noProof/>
          <w:lang w:eastAsia="ru-RU"/>
        </w:rPr>
      </w:pPr>
    </w:p>
    <w:p w:rsidR="00536985" w:rsidRDefault="00536985" w:rsidP="00536985">
      <w:pPr>
        <w:ind w:left="-993"/>
        <w:jc w:val="center"/>
        <w:rPr>
          <w:noProof/>
          <w:lang w:eastAsia="ru-RU"/>
        </w:rPr>
      </w:pPr>
    </w:p>
    <w:p w:rsidR="00536985" w:rsidRDefault="00536985" w:rsidP="00536985">
      <w:pPr>
        <w:ind w:left="-993"/>
        <w:jc w:val="center"/>
      </w:pPr>
      <w:r>
        <w:rPr>
          <w:noProof/>
          <w:lang w:eastAsia="ru-RU"/>
        </w:rPr>
        <w:drawing>
          <wp:inline distT="0" distB="0" distL="0" distR="0">
            <wp:extent cx="6593951" cy="394137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GL151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7" t="8212" r="8899" b="29482"/>
                    <a:stretch/>
                  </pic:blipFill>
                  <pic:spPr bwMode="auto">
                    <a:xfrm>
                      <a:off x="0" y="0"/>
                      <a:ext cx="6634347" cy="396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985" w:rsidRDefault="00536985" w:rsidP="00536985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606A7F" w:rsidRDefault="00536985" w:rsidP="00536985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536985">
        <w:rPr>
          <w:rFonts w:ascii="Times New Roman" w:hAnsi="Times New Roman" w:cs="Times New Roman"/>
          <w:sz w:val="28"/>
          <w:szCs w:val="28"/>
        </w:rPr>
        <w:t>2018 г</w:t>
      </w: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D144A" w:rsidRPr="00BD144A" w:rsidRDefault="00BD144A" w:rsidP="00BD1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</w:tcPr>
          <w:p w:rsidR="00BD144A" w:rsidRPr="00BD144A" w:rsidRDefault="00BD144A" w:rsidP="00BD14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44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</w:tcPr>
          <w:p w:rsidR="00BD144A" w:rsidRPr="00BD144A" w:rsidRDefault="00BD144A" w:rsidP="00BD1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1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Социально-экономическая характеристика района.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</w:tcPr>
          <w:p w:rsidR="00BD144A" w:rsidRPr="00BD144A" w:rsidRDefault="00BD144A" w:rsidP="00BD144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D144A">
              <w:rPr>
                <w:rFonts w:ascii="Times New Roman" w:hAnsi="Times New Roman"/>
                <w:sz w:val="28"/>
                <w:szCs w:val="28"/>
              </w:rPr>
              <w:t>Потребность в благоустройстве Малокарачаевского муниципального района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Первмайского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Учкекенского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Покунского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Римгорского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Терезинского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Джагинского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Кичи-Балыкского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Элькушского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Краснокурганского</w:t>
            </w:r>
            <w:proofErr w:type="spellEnd"/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BD144A" w:rsidTr="003E37F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44A" w:rsidRPr="00BD144A" w:rsidRDefault="00BD144A" w:rsidP="00BD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Красно-Восточного</w:t>
            </w:r>
            <w:r w:rsidRPr="00BD144A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</w:tbl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44A" w:rsidRDefault="00BD144A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FC" w:rsidRDefault="003E37FC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FC" w:rsidRDefault="003E37FC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FC" w:rsidRDefault="003E37FC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FC" w:rsidRDefault="003E37FC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FC" w:rsidRDefault="003E37FC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FC" w:rsidRDefault="003E37FC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5D2" w:rsidRPr="004071BA" w:rsidRDefault="00E275D2" w:rsidP="00BD1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1B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36985" w:rsidRDefault="001E09EE" w:rsidP="004071B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71BA">
        <w:rPr>
          <w:rFonts w:ascii="Times New Roman" w:hAnsi="Times New Roman" w:cs="Times New Roman"/>
          <w:sz w:val="28"/>
          <w:szCs w:val="28"/>
        </w:rPr>
        <w:t xml:space="preserve">Главой Карачаево-Черкесской Республики Рашидом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БориспиевичемТемрезовым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2018 год объявлен «Годом Благоустройства». Всеми района</w:t>
      </w:r>
      <w:r w:rsidR="00E275D2" w:rsidRPr="004071BA">
        <w:rPr>
          <w:rFonts w:ascii="Times New Roman" w:hAnsi="Times New Roman" w:cs="Times New Roman"/>
          <w:sz w:val="28"/>
          <w:szCs w:val="28"/>
        </w:rPr>
        <w:t>ми</w:t>
      </w:r>
      <w:r w:rsidRPr="004071BA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 разработаны и утверждены паспорта благоустройства районов и сельских поселений.</w:t>
      </w:r>
      <w:r w:rsidR="00E275D2" w:rsidRPr="004071BA">
        <w:rPr>
          <w:rFonts w:ascii="Times New Roman" w:hAnsi="Times New Roman" w:cs="Times New Roman"/>
          <w:sz w:val="28"/>
          <w:szCs w:val="28"/>
        </w:rPr>
        <w:t xml:space="preserve"> В данном паспорте представлены данные по всем 10 сельским поселениям Малокарачаевского муниципального района.</w:t>
      </w:r>
    </w:p>
    <w:p w:rsidR="00695109" w:rsidRPr="004071BA" w:rsidRDefault="00695109" w:rsidP="006951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837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2719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FC" w:rsidRDefault="003E37FC" w:rsidP="004071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75D2" w:rsidRPr="004071BA" w:rsidRDefault="003E37FC" w:rsidP="004071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E275D2" w:rsidRPr="00E275D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Социаль</w:t>
      </w:r>
      <w:r w:rsidR="00E275D2" w:rsidRPr="004071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но-экономическая </w:t>
      </w:r>
      <w:r w:rsidR="00BD14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характеристика района</w:t>
      </w:r>
    </w:p>
    <w:p w:rsidR="00E275D2" w:rsidRPr="00E275D2" w:rsidRDefault="00E275D2" w:rsidP="004071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</w:pPr>
    </w:p>
    <w:p w:rsidR="000766A5" w:rsidRPr="004071BA" w:rsidRDefault="00E275D2" w:rsidP="004071BA">
      <w:pPr>
        <w:spacing w:before="120" w:after="120" w:line="360" w:lineRule="auto"/>
        <w:ind w:firstLine="851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proofErr w:type="spellStart"/>
      <w:r w:rsidRPr="00E275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Малокарачаевский</w:t>
      </w:r>
      <w:proofErr w:type="spellEnd"/>
      <w:r w:rsidRPr="004071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муниципальный</w:t>
      </w:r>
      <w:r w:rsidRPr="00E275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 основан в 1922 году. </w:t>
      </w:r>
      <w:r w:rsidR="004071BA" w:rsidRPr="004071BA">
        <w:rPr>
          <w:rFonts w:ascii="Times New Roman" w:hAnsi="Times New Roman" w:cs="Times New Roman"/>
          <w:sz w:val="28"/>
          <w:szCs w:val="28"/>
        </w:rPr>
        <w:t>Северные и восточные границы Малокарачаевского  района совпадают с границами республики - здесь район граничит</w:t>
      </w:r>
      <w:r w:rsidR="004071BA" w:rsidRPr="004071BA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 территорией </w:t>
      </w:r>
      <w:r w:rsidR="004071BA" w:rsidRPr="004071BA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>Ставропольского края и Кабардино-Балкарской Республики</w:t>
      </w:r>
      <w:r w:rsidR="004071BA" w:rsidRPr="004071BA">
        <w:rPr>
          <w:rFonts w:ascii="Times New Roman" w:hAnsi="Times New Roman" w:cs="Times New Roman"/>
          <w:sz w:val="28"/>
          <w:szCs w:val="28"/>
        </w:rPr>
        <w:t xml:space="preserve">. На юге район граничит </w:t>
      </w:r>
      <w:r w:rsidR="004071BA" w:rsidRPr="004071BA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с территорией Кабардино-Балкарской Республики и землями Карачаевского района Карачаево-Черкесской Республики и на западе – с землями Карачаевского и </w:t>
      </w:r>
      <w:proofErr w:type="spellStart"/>
      <w:r w:rsidR="004071BA" w:rsidRPr="004071BA">
        <w:rPr>
          <w:rFonts w:ascii="Times New Roman" w:eastAsia="Arial Unicode MS" w:hAnsi="Times New Roman" w:cs="Times New Roman"/>
          <w:kern w:val="2"/>
          <w:sz w:val="28"/>
          <w:szCs w:val="28"/>
        </w:rPr>
        <w:t>Усть-Джегутинского</w:t>
      </w:r>
      <w:proofErr w:type="spellEnd"/>
      <w:r w:rsidR="004071BA" w:rsidRPr="004071BA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районов Карачаево-Черкесской Республики.</w:t>
      </w:r>
    </w:p>
    <w:p w:rsidR="000766A5" w:rsidRDefault="000766A5" w:rsidP="004071BA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Малокарачаевский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район занимает 9,5% территории республики, здесь проживает 9,2% населения Карачаево-Черкесской Республики. Население района – 43,3 тыс. чел. (100% сельского населения). Территория района – 1365 км</w:t>
      </w:r>
      <w:proofErr w:type="gramStart"/>
      <w:r w:rsidRPr="004071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071BA">
        <w:rPr>
          <w:rFonts w:ascii="Times New Roman" w:hAnsi="Times New Roman" w:cs="Times New Roman"/>
          <w:sz w:val="28"/>
          <w:szCs w:val="28"/>
        </w:rPr>
        <w:t>.</w:t>
      </w:r>
    </w:p>
    <w:p w:rsidR="004071BA" w:rsidRPr="004071BA" w:rsidRDefault="004071BA" w:rsidP="004071BA">
      <w:pPr>
        <w:pStyle w:val="2"/>
        <w:spacing w:before="120" w:line="360" w:lineRule="auto"/>
        <w:ind w:left="0" w:firstLine="851"/>
        <w:jc w:val="both"/>
        <w:rPr>
          <w:sz w:val="28"/>
          <w:szCs w:val="28"/>
        </w:rPr>
      </w:pPr>
      <w:r w:rsidRPr="004071BA">
        <w:rPr>
          <w:sz w:val="28"/>
          <w:szCs w:val="28"/>
        </w:rPr>
        <w:t xml:space="preserve">Население, в основном, занято сельскохозяйственным производством, в личном подсобном хозяйстве. Часть населения занята в городах </w:t>
      </w:r>
      <w:proofErr w:type="spellStart"/>
      <w:r w:rsidRPr="004071BA">
        <w:rPr>
          <w:sz w:val="28"/>
          <w:szCs w:val="28"/>
        </w:rPr>
        <w:t>Кавминводской</w:t>
      </w:r>
      <w:proofErr w:type="spellEnd"/>
      <w:r w:rsidRPr="004071BA">
        <w:rPr>
          <w:sz w:val="28"/>
          <w:szCs w:val="28"/>
        </w:rPr>
        <w:t xml:space="preserve"> агломерации.</w:t>
      </w:r>
    </w:p>
    <w:p w:rsidR="000766A5" w:rsidRPr="004071BA" w:rsidRDefault="000766A5" w:rsidP="004071B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Малокарачаевский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район является одним из 12 муниципальных образований Карачаево-Черкесской Республики (одним из 10 муниципальных районов).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Малокарачаевский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район расположен в восточной части Карачаево-Черкесской Республики и входит в состав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Кавминводской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системы расселения с центром в г. Пятигорск (Ставропольский край).</w:t>
      </w:r>
    </w:p>
    <w:p w:rsidR="000766A5" w:rsidRPr="004071BA" w:rsidRDefault="000766A5" w:rsidP="004071BA">
      <w:pPr>
        <w:spacing w:before="120" w:after="12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071BA">
        <w:rPr>
          <w:rFonts w:ascii="Times New Roman" w:hAnsi="Times New Roman" w:cs="Times New Roman"/>
          <w:sz w:val="28"/>
          <w:szCs w:val="28"/>
        </w:rPr>
        <w:t xml:space="preserve">По площади территории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Малокарачаевский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район занимает четвертое место и имеет наименьшую площадь среди горных районов республики.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Малокарачаевский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район по площади уступает только </w:t>
      </w:r>
      <w:proofErr w:type="gramStart"/>
      <w:r w:rsidRPr="004071BA">
        <w:rPr>
          <w:rFonts w:ascii="Times New Roman" w:hAnsi="Times New Roman" w:cs="Times New Roman"/>
          <w:sz w:val="28"/>
          <w:szCs w:val="28"/>
        </w:rPr>
        <w:t>Карачаевскому</w:t>
      </w:r>
      <w:proofErr w:type="gramEnd"/>
      <w:r w:rsidRPr="00407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Зеленчукскому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Урупскому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муниципальным районам Карачаево-Черкесской Республики.</w:t>
      </w:r>
    </w:p>
    <w:p w:rsidR="000766A5" w:rsidRPr="004071BA" w:rsidRDefault="000766A5" w:rsidP="004071B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1BA">
        <w:rPr>
          <w:rFonts w:ascii="Times New Roman" w:hAnsi="Times New Roman" w:cs="Times New Roman"/>
          <w:sz w:val="28"/>
          <w:szCs w:val="28"/>
        </w:rPr>
        <w:t xml:space="preserve">Современное административно-территориальное деление района определено в соответствии с Федеральным законом «Об общих принципах организации местного самоуправления в Российской Федерации» (№ 131-ФЗ от 6 октября 2003г.) и вышедшими на его основе Законе Карачаево-Черкесской Республики от 12.01.2005г. № 11-РЗ «Об установлении границ муниципальных образований на территории Малокарачаевского района и </w:t>
      </w:r>
      <w:r w:rsidRPr="004071BA">
        <w:rPr>
          <w:rFonts w:ascii="Times New Roman" w:hAnsi="Times New Roman" w:cs="Times New Roman"/>
          <w:sz w:val="28"/>
          <w:szCs w:val="28"/>
        </w:rPr>
        <w:lastRenderedPageBreak/>
        <w:t>наделении их соответствующим статусом»</w:t>
      </w:r>
      <w:r w:rsidRPr="004071BA">
        <w:rPr>
          <w:rStyle w:val="a5"/>
          <w:sz w:val="28"/>
          <w:szCs w:val="28"/>
        </w:rPr>
        <w:footnoteReference w:id="1"/>
      </w:r>
      <w:r w:rsidRPr="004071BA">
        <w:rPr>
          <w:rFonts w:ascii="Times New Roman" w:hAnsi="Times New Roman" w:cs="Times New Roman"/>
          <w:sz w:val="28"/>
          <w:szCs w:val="28"/>
        </w:rPr>
        <w:t xml:space="preserve"> и Законе Карачаево-Черкесской Республики от 24.02.2004г. № 84-РЗ «Об административно-территориальномустройстве</w:t>
      </w:r>
      <w:proofErr w:type="gramEnd"/>
      <w:r w:rsidRPr="004071BA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Республики».</w:t>
      </w:r>
    </w:p>
    <w:p w:rsidR="000766A5" w:rsidRPr="004071BA" w:rsidRDefault="000766A5" w:rsidP="004071B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1BA">
        <w:rPr>
          <w:rFonts w:ascii="Times New Roman" w:hAnsi="Times New Roman" w:cs="Times New Roman"/>
          <w:sz w:val="28"/>
          <w:szCs w:val="28"/>
        </w:rPr>
        <w:t>Районный центр находится вс. Учкекен, ближайшая железнодорожная станция расположена в г. Кисловодск (Ставропольский край). Расстояние от районного центра до административного центра Карачаево-Черкесской Республики – города Черкесск – составляет 80 км</w:t>
      </w:r>
      <w:bookmarkStart w:id="0" w:name="_MON_1398248174"/>
      <w:bookmarkEnd w:id="0"/>
      <w:r w:rsidRPr="004071BA">
        <w:rPr>
          <w:rFonts w:ascii="Times New Roman" w:hAnsi="Times New Roman" w:cs="Times New Roman"/>
          <w:sz w:val="28"/>
          <w:szCs w:val="28"/>
        </w:rPr>
        <w:t xml:space="preserve">, до одного из центров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Кавминводской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агломерации г. Кисловодска 20 км.</w:t>
      </w:r>
    </w:p>
    <w:p w:rsidR="000766A5" w:rsidRPr="004071BA" w:rsidRDefault="000766A5" w:rsidP="004071B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1BA">
        <w:rPr>
          <w:rFonts w:ascii="Times New Roman" w:hAnsi="Times New Roman" w:cs="Times New Roman"/>
          <w:sz w:val="28"/>
          <w:szCs w:val="28"/>
        </w:rPr>
        <w:t xml:space="preserve">На территории района отсутствуют железные дороги и федеральные автодороги, по территории района проходят участки региональных автодорог </w:t>
      </w:r>
      <w:proofErr w:type="spellStart"/>
      <w:r w:rsidRPr="004071BA">
        <w:rPr>
          <w:rFonts w:ascii="Times New Roman" w:hAnsi="Times New Roman" w:cs="Times New Roman"/>
          <w:sz w:val="28"/>
          <w:szCs w:val="28"/>
        </w:rPr>
        <w:t>Усть-Джегута</w:t>
      </w:r>
      <w:proofErr w:type="spellEnd"/>
      <w:r w:rsidRPr="004071BA">
        <w:rPr>
          <w:rFonts w:ascii="Times New Roman" w:hAnsi="Times New Roman" w:cs="Times New Roman"/>
          <w:sz w:val="28"/>
          <w:szCs w:val="28"/>
        </w:rPr>
        <w:t xml:space="preserve"> – Кисловодск и Пятигорск - Карачаевск. В границах района расположены головные объекты  системы водоснабжения г. Кисловодска.</w:t>
      </w:r>
    </w:p>
    <w:p w:rsidR="000766A5" w:rsidRPr="004071BA" w:rsidRDefault="000766A5" w:rsidP="004071B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1BA">
        <w:rPr>
          <w:rFonts w:ascii="Times New Roman" w:hAnsi="Times New Roman" w:cs="Times New Roman"/>
          <w:sz w:val="28"/>
          <w:szCs w:val="28"/>
        </w:rPr>
        <w:t>Закон определяет границы 10-ти сельских муниципальных образований (сельских поселений), входящих в состав района</w:t>
      </w:r>
      <w:proofErr w:type="gramStart"/>
      <w:r w:rsidRPr="004071BA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1.  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Джагинское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2.  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Кичи-Балыкское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3.  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Красновосточное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4.  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Краснокурганское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5.  Кызыл-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Покунское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1" w:name="_GoBack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6.  Первомайское сельское поселение</w:t>
      </w:r>
    </w:p>
    <w:bookmarkEnd w:id="1"/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7.  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Римгорское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8.  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Терезинское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9.  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Учкекенское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Элькушское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В районе функционируют 15 общеобразовательных школ, (в т.ч. 11 средних, 3 основных, одна начальная), 8 дошкольных образовательных </w:t>
      </w: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учреждений, 2 детско-юношеские спортивные школы, хореографическая, 3 музыкальные школы, 9 сельских клубов, Центр культуры и досуга.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На территории района работают Механико-технологический колледж, Аграрный колледж, Колледж по туризму и гостиничному менеджменту.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В районе 1 центральная районная больница, 1 участковая  больница, </w:t>
      </w:r>
      <w:r w:rsidRPr="004071BA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3 врачебные амбулатории, 7 </w:t>
      </w: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фельдшерско-акушерских пунктов, 3 фельдшерских пункта, 2 здравпункта</w:t>
      </w:r>
      <w:r w:rsidRPr="004071BA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На территории района функционируют: ОАО «Завод 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Элия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», РГУП «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Малокарачаевское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 АТП», ГУП «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Малокарачаевский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 ДРСУЧ», Узел почтовой и электросвязи.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Глава района - Председатель районного Совета — 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Борлаков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 Ислам 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Барисбиевич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E275D2" w:rsidRPr="00E275D2" w:rsidRDefault="00E275D2" w:rsidP="004071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Глава администрации района — 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Байрамуков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 xml:space="preserve"> Рамазан </w:t>
      </w:r>
      <w:proofErr w:type="spellStart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Пахатович</w:t>
      </w:r>
      <w:proofErr w:type="spellEnd"/>
      <w:r w:rsidRPr="00E275D2">
        <w:rPr>
          <w:rFonts w:ascii="Times New Roman" w:eastAsia="Times New Roman" w:hAnsi="Times New Roman" w:cs="Times New Roman"/>
          <w:color w:val="272727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695109" w:rsidRDefault="00695109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BD144A" w:rsidRPr="004071BA" w:rsidRDefault="00BD144A" w:rsidP="00695109">
      <w:pPr>
        <w:pStyle w:val="2"/>
        <w:spacing w:before="120" w:line="360" w:lineRule="auto"/>
        <w:ind w:left="0"/>
        <w:jc w:val="center"/>
        <w:rPr>
          <w:sz w:val="28"/>
          <w:szCs w:val="28"/>
        </w:rPr>
      </w:pPr>
    </w:p>
    <w:p w:rsidR="00E96649" w:rsidRDefault="003E37FC" w:rsidP="008A5A30">
      <w:pPr>
        <w:pStyle w:val="ab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E96649">
        <w:rPr>
          <w:rFonts w:ascii="Times New Roman" w:hAnsi="Times New Roman"/>
          <w:b/>
          <w:sz w:val="28"/>
          <w:szCs w:val="28"/>
        </w:rPr>
        <w:t>Потребность в благоустройстве Малокара</w:t>
      </w:r>
      <w:r w:rsidR="00BD144A">
        <w:rPr>
          <w:rFonts w:ascii="Times New Roman" w:hAnsi="Times New Roman"/>
          <w:b/>
          <w:sz w:val="28"/>
          <w:szCs w:val="28"/>
        </w:rPr>
        <w:t>чаевского муниципального района</w:t>
      </w:r>
    </w:p>
    <w:p w:rsidR="00E96649" w:rsidRDefault="00E96649" w:rsidP="008A5A30">
      <w:pPr>
        <w:pStyle w:val="ab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96649" w:rsidRDefault="0051748B" w:rsidP="0051748B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Министерством</w:t>
      </w:r>
      <w:r w:rsidR="00E96649">
        <w:rPr>
          <w:rFonts w:ascii="Times New Roman" w:hAnsi="Times New Roman"/>
          <w:sz w:val="28"/>
          <w:szCs w:val="28"/>
        </w:rPr>
        <w:t xml:space="preserve"> строительства и ЖКХ Карачаево-Черкесской республики </w:t>
      </w:r>
      <w:r>
        <w:rPr>
          <w:rFonts w:ascii="Times New Roman" w:hAnsi="Times New Roman"/>
          <w:sz w:val="28"/>
          <w:szCs w:val="28"/>
        </w:rPr>
        <w:t xml:space="preserve">рассматривается перечень материалов </w:t>
      </w:r>
      <w:r w:rsidR="00E96649">
        <w:rPr>
          <w:rFonts w:ascii="Times New Roman" w:hAnsi="Times New Roman"/>
          <w:sz w:val="28"/>
          <w:szCs w:val="28"/>
        </w:rPr>
        <w:t>для благоустройства районов республики.</w:t>
      </w:r>
    </w:p>
    <w:p w:rsidR="00BD144A" w:rsidRPr="00E96649" w:rsidRDefault="00BD144A" w:rsidP="00BD144A">
      <w:pPr>
        <w:pStyle w:val="ab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разработки паспортов благоустройства сельских поселений Малокарачаевского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общий перечь потребности в благоустройстве. </w:t>
      </w:r>
    </w:p>
    <w:tbl>
      <w:tblPr>
        <w:tblStyle w:val="ae"/>
        <w:tblW w:w="9653" w:type="dxa"/>
        <w:tblLayout w:type="fixed"/>
        <w:tblLook w:val="04A0" w:firstRow="1" w:lastRow="0" w:firstColumn="1" w:lastColumn="0" w:noHBand="0" w:noVBand="1"/>
      </w:tblPr>
      <w:tblGrid>
        <w:gridCol w:w="967"/>
        <w:gridCol w:w="1835"/>
        <w:gridCol w:w="992"/>
        <w:gridCol w:w="1134"/>
        <w:gridCol w:w="1276"/>
        <w:gridCol w:w="1275"/>
        <w:gridCol w:w="709"/>
        <w:gridCol w:w="709"/>
        <w:gridCol w:w="756"/>
      </w:tblGrid>
      <w:tr w:rsidR="003E37FC" w:rsidTr="003E37FC">
        <w:trPr>
          <w:trHeight w:val="805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Урны мусорные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Зеленые насаждения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Бульдозер, часы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Экскаватор, часы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Самосвал, часы</w:t>
            </w:r>
          </w:p>
        </w:tc>
      </w:tr>
      <w:tr w:rsidR="003E37FC" w:rsidTr="003E37FC">
        <w:trPr>
          <w:trHeight w:val="543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Первмайское</w:t>
            </w:r>
            <w:proofErr w:type="spellEnd"/>
            <w:r w:rsidRPr="0026271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526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Учкекенское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E37FC" w:rsidTr="003E37FC">
        <w:trPr>
          <w:trHeight w:val="821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526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543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526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Джагинское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805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Кичи-Балыкское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543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Элькушское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526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Краснокурганское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trHeight w:val="805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Красно-Восточное СП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7FC" w:rsidTr="003E37FC">
        <w:trPr>
          <w:cantSplit/>
          <w:trHeight w:val="1113"/>
        </w:trPr>
        <w:tc>
          <w:tcPr>
            <w:tcW w:w="967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34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5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6" w:type="dxa"/>
            <w:vAlign w:val="center"/>
          </w:tcPr>
          <w:p w:rsidR="00BD144A" w:rsidRPr="0026271B" w:rsidRDefault="00BD144A" w:rsidP="0026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E275D2" w:rsidRPr="008A5A30" w:rsidRDefault="00E275D2" w:rsidP="00BD144A">
      <w:pPr>
        <w:pStyle w:val="ab"/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E275D2" w:rsidRPr="008A5A30" w:rsidSect="0044144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43" w:rsidRDefault="00032843" w:rsidP="000766A5">
      <w:pPr>
        <w:spacing w:after="0" w:line="240" w:lineRule="auto"/>
      </w:pPr>
      <w:r>
        <w:separator/>
      </w:r>
    </w:p>
  </w:endnote>
  <w:endnote w:type="continuationSeparator" w:id="0">
    <w:p w:rsidR="00032843" w:rsidRDefault="00032843" w:rsidP="0007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ref">
    <w:altName w:val="Vrinda"/>
    <w:panose1 w:val="0200050000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43" w:rsidRDefault="00032843" w:rsidP="000766A5">
      <w:pPr>
        <w:spacing w:after="0" w:line="240" w:lineRule="auto"/>
      </w:pPr>
      <w:r>
        <w:separator/>
      </w:r>
    </w:p>
  </w:footnote>
  <w:footnote w:type="continuationSeparator" w:id="0">
    <w:p w:rsidR="00032843" w:rsidRDefault="00032843" w:rsidP="000766A5">
      <w:pPr>
        <w:spacing w:after="0" w:line="240" w:lineRule="auto"/>
      </w:pPr>
      <w:r>
        <w:continuationSeparator/>
      </w:r>
    </w:p>
  </w:footnote>
  <w:footnote w:id="1">
    <w:p w:rsidR="00BD144A" w:rsidRDefault="00BD144A"/>
    <w:p w:rsidR="000766A5" w:rsidRDefault="000766A5" w:rsidP="000766A5">
      <w:pPr>
        <w:autoSpaceDE w:val="0"/>
        <w:autoSpaceDN w:val="0"/>
        <w:adjustRightInd w:val="0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B6"/>
    <w:rsid w:val="00032843"/>
    <w:rsid w:val="00072905"/>
    <w:rsid w:val="000766A5"/>
    <w:rsid w:val="001E09EE"/>
    <w:rsid w:val="0021701C"/>
    <w:rsid w:val="003E37FC"/>
    <w:rsid w:val="004071BA"/>
    <w:rsid w:val="0044144C"/>
    <w:rsid w:val="004D2D8C"/>
    <w:rsid w:val="0051748B"/>
    <w:rsid w:val="00536985"/>
    <w:rsid w:val="00606A7F"/>
    <w:rsid w:val="00695109"/>
    <w:rsid w:val="006F66FF"/>
    <w:rsid w:val="008A5A30"/>
    <w:rsid w:val="009A03B6"/>
    <w:rsid w:val="00BD144A"/>
    <w:rsid w:val="00E275D2"/>
    <w:rsid w:val="00E9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44C"/>
    <w:rPr>
      <w:rFonts w:ascii="Tahoma" w:hAnsi="Tahoma" w:cs="Tahoma"/>
      <w:sz w:val="16"/>
      <w:szCs w:val="16"/>
    </w:rPr>
  </w:style>
  <w:style w:type="character" w:customStyle="1" w:styleId="fontstyle47">
    <w:name w:val="fontstyle47"/>
    <w:basedOn w:val="a0"/>
    <w:rsid w:val="00E275D2"/>
  </w:style>
  <w:style w:type="paragraph" w:styleId="2">
    <w:name w:val="Body Text Indent 2"/>
    <w:basedOn w:val="a"/>
    <w:link w:val="20"/>
    <w:unhideWhenUsed/>
    <w:rsid w:val="000766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6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0766A5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semiHidden/>
    <w:unhideWhenUsed/>
    <w:rsid w:val="000766A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7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6A5"/>
  </w:style>
  <w:style w:type="paragraph" w:styleId="a9">
    <w:name w:val="footer"/>
    <w:basedOn w:val="a"/>
    <w:link w:val="aa"/>
    <w:uiPriority w:val="99"/>
    <w:unhideWhenUsed/>
    <w:rsid w:val="0007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6A5"/>
  </w:style>
  <w:style w:type="paragraph" w:styleId="ab">
    <w:name w:val="No Spacing"/>
    <w:link w:val="ac"/>
    <w:uiPriority w:val="1"/>
    <w:qFormat/>
    <w:rsid w:val="00E966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E966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Strong"/>
    <w:uiPriority w:val="99"/>
    <w:qFormat/>
    <w:rsid w:val="00E96649"/>
    <w:rPr>
      <w:rFonts w:ascii="Times New Roman" w:hAnsi="Times New Roman" w:cs="Times New Roman" w:hint="default"/>
      <w:b/>
      <w:bCs/>
    </w:rPr>
  </w:style>
  <w:style w:type="table" w:styleId="ae">
    <w:name w:val="Table Grid"/>
    <w:basedOn w:val="a1"/>
    <w:uiPriority w:val="59"/>
    <w:rsid w:val="00BD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44C"/>
    <w:rPr>
      <w:rFonts w:ascii="Tahoma" w:hAnsi="Tahoma" w:cs="Tahoma"/>
      <w:sz w:val="16"/>
      <w:szCs w:val="16"/>
    </w:rPr>
  </w:style>
  <w:style w:type="character" w:customStyle="1" w:styleId="fontstyle47">
    <w:name w:val="fontstyle47"/>
    <w:basedOn w:val="a0"/>
    <w:rsid w:val="00E275D2"/>
  </w:style>
  <w:style w:type="paragraph" w:styleId="2">
    <w:name w:val="Body Text Indent 2"/>
    <w:basedOn w:val="a"/>
    <w:link w:val="20"/>
    <w:unhideWhenUsed/>
    <w:rsid w:val="000766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6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0766A5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semiHidden/>
    <w:unhideWhenUsed/>
    <w:rsid w:val="000766A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7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6A5"/>
  </w:style>
  <w:style w:type="paragraph" w:styleId="a9">
    <w:name w:val="footer"/>
    <w:basedOn w:val="a"/>
    <w:link w:val="aa"/>
    <w:uiPriority w:val="99"/>
    <w:unhideWhenUsed/>
    <w:rsid w:val="0007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6A5"/>
  </w:style>
  <w:style w:type="paragraph" w:styleId="ab">
    <w:name w:val="No Spacing"/>
    <w:link w:val="ac"/>
    <w:uiPriority w:val="1"/>
    <w:qFormat/>
    <w:rsid w:val="00E966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E966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Strong"/>
    <w:uiPriority w:val="99"/>
    <w:qFormat/>
    <w:rsid w:val="00E96649"/>
    <w:rPr>
      <w:rFonts w:ascii="Times New Roman" w:hAnsi="Times New Roman" w:cs="Times New Roman" w:hint="default"/>
      <w:b/>
      <w:bCs/>
    </w:rPr>
  </w:style>
  <w:style w:type="table" w:styleId="ae">
    <w:name w:val="Table Grid"/>
    <w:basedOn w:val="a1"/>
    <w:uiPriority w:val="59"/>
    <w:rsid w:val="00BD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2</cp:revision>
  <dcterms:created xsi:type="dcterms:W3CDTF">2018-03-29T12:10:00Z</dcterms:created>
  <dcterms:modified xsi:type="dcterms:W3CDTF">2018-03-29T12:10:00Z</dcterms:modified>
</cp:coreProperties>
</file>